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47" w:rsidRPr="00212B52" w:rsidRDefault="00AA6A47" w:rsidP="00AA6A47">
      <w:pPr>
        <w:rPr>
          <w:b/>
          <w:bCs/>
          <w:sz w:val="28"/>
          <w:szCs w:val="28"/>
        </w:rPr>
      </w:pPr>
      <w:r>
        <w:rPr>
          <w:noProof/>
        </w:rPr>
        <w:drawing>
          <wp:anchor distT="0" distB="0" distL="114300" distR="114300" simplePos="0" relativeHeight="251659264" behindDoc="1" locked="0" layoutInCell="1" allowOverlap="1" wp14:anchorId="48D04FF6" wp14:editId="7A986D6D">
            <wp:simplePos x="0" y="0"/>
            <wp:positionH relativeFrom="column">
              <wp:posOffset>5440680</wp:posOffset>
            </wp:positionH>
            <wp:positionV relativeFrom="paragraph">
              <wp:posOffset>-219075</wp:posOffset>
            </wp:positionV>
            <wp:extent cx="953770" cy="819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377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9E9">
        <w:rPr>
          <w:b/>
          <w:bCs/>
          <w:sz w:val="28"/>
          <w:szCs w:val="28"/>
        </w:rPr>
        <w:t>Mat</w:t>
      </w:r>
      <w:r>
        <w:rPr>
          <w:b/>
          <w:bCs/>
          <w:sz w:val="28"/>
          <w:szCs w:val="28"/>
        </w:rPr>
        <w:t>h</w:t>
      </w:r>
      <w:r w:rsidRPr="006E09E9">
        <w:rPr>
          <w:b/>
          <w:bCs/>
          <w:sz w:val="28"/>
          <w:szCs w:val="28"/>
        </w:rPr>
        <w:t xml:space="preserve">ematics and Statistics Achievement Standard </w:t>
      </w:r>
      <w:r>
        <w:rPr>
          <w:b/>
          <w:bCs/>
          <w:sz w:val="28"/>
          <w:szCs w:val="28"/>
        </w:rPr>
        <w:t>AS91580</w:t>
      </w:r>
      <w:r>
        <w:rPr>
          <w:b/>
          <w:bCs/>
          <w:sz w:val="28"/>
          <w:szCs w:val="28"/>
        </w:rPr>
        <w:br/>
      </w:r>
      <w:r>
        <w:rPr>
          <w:sz w:val="28"/>
          <w:szCs w:val="28"/>
        </w:rPr>
        <w:t>Investigate time series data</w:t>
      </w:r>
      <w:r w:rsidRPr="00212B52">
        <w:rPr>
          <w:sz w:val="28"/>
          <w:szCs w:val="28"/>
        </w:rPr>
        <w:t xml:space="preserve"> </w:t>
      </w:r>
      <w:r>
        <w:rPr>
          <w:sz w:val="28"/>
          <w:szCs w:val="28"/>
        </w:rPr>
        <w:t>(3.8 v1)</w:t>
      </w:r>
    </w:p>
    <w:p w:rsidR="00AA6A47" w:rsidRPr="009D6D94" w:rsidRDefault="00AA6A47" w:rsidP="00AA6A47">
      <w:pPr>
        <w:pStyle w:val="Default"/>
        <w:spacing w:before="120" w:after="120"/>
        <w:rPr>
          <w:b/>
          <w:bCs/>
          <w:sz w:val="28"/>
          <w:szCs w:val="28"/>
        </w:rPr>
      </w:pPr>
      <w:r>
        <w:rPr>
          <w:b/>
          <w:bCs/>
          <w:sz w:val="28"/>
          <w:szCs w:val="28"/>
        </w:rPr>
        <w:t>A Bed for the Night</w:t>
      </w:r>
    </w:p>
    <w:p w:rsidR="00AA6A47" w:rsidRDefault="00AA6A47" w:rsidP="00AA6A47">
      <w:pPr>
        <w:pStyle w:val="Default"/>
        <w:spacing w:before="120" w:after="120"/>
        <w:rPr>
          <w:szCs w:val="28"/>
        </w:rPr>
      </w:pPr>
      <w:r w:rsidRPr="009B7758">
        <w:rPr>
          <w:bCs/>
          <w:szCs w:val="28"/>
        </w:rPr>
        <w:t xml:space="preserve">Credits: </w:t>
      </w:r>
      <w:r>
        <w:rPr>
          <w:szCs w:val="28"/>
        </w:rPr>
        <w:t>4</w:t>
      </w:r>
    </w:p>
    <w:p w:rsidR="00AA6A47" w:rsidRPr="00EF6415" w:rsidRDefault="00AA6A47" w:rsidP="00AA6A47">
      <w:pPr>
        <w:pStyle w:val="Default"/>
        <w:spacing w:before="120" w:after="120"/>
        <w:rPr>
          <w:szCs w:val="28"/>
        </w:rPr>
      </w:pPr>
    </w:p>
    <w:p w:rsidR="00AA6A47" w:rsidRDefault="00AA6A47" w:rsidP="00AA6A47">
      <w:pPr>
        <w:widowControl/>
        <w:autoSpaceDE/>
        <w:autoSpaceDN/>
        <w:adjustRightInd/>
        <w:spacing w:after="200" w:line="276" w:lineRule="auto"/>
        <w:rPr>
          <w:u w:val="single"/>
        </w:rPr>
      </w:pPr>
      <w:r w:rsidRPr="00495AD7">
        <w:rPr>
          <w:u w:val="single"/>
        </w:rPr>
        <w:t>Resource A</w:t>
      </w:r>
    </w:p>
    <w:p w:rsidR="00AA6A47" w:rsidRPr="009A47AC" w:rsidRDefault="00AA6A47" w:rsidP="00AA6A47">
      <w:pPr>
        <w:rPr>
          <w:color w:val="000000"/>
          <w:sz w:val="22"/>
          <w:szCs w:val="22"/>
        </w:rPr>
      </w:pPr>
      <w:r>
        <w:rPr>
          <w:sz w:val="22"/>
        </w:rPr>
        <w:t xml:space="preserve">On </w:t>
      </w:r>
      <w:r>
        <w:rPr>
          <w:color w:val="808080" w:themeColor="background1" w:themeShade="80"/>
          <w:sz w:val="22"/>
        </w:rPr>
        <w:t xml:space="preserve">24 September </w:t>
      </w:r>
      <w:r>
        <w:rPr>
          <w:sz w:val="22"/>
        </w:rPr>
        <w:t xml:space="preserve">you will be required to carry out a statistical investigation into short term commercial accommodation in New Zealand over the last 20 years. </w:t>
      </w:r>
      <w:r w:rsidRPr="009A47AC">
        <w:rPr>
          <w:color w:val="000000"/>
          <w:sz w:val="22"/>
          <w:szCs w:val="22"/>
        </w:rPr>
        <w:t xml:space="preserve">You should be sourcing relevant contextual knowledge about the situation under investigation from places such as the internet, the school or local library, newspapers and magazines.  These sources should be referenced in your report.  </w:t>
      </w:r>
    </w:p>
    <w:p w:rsidR="00AA6A47" w:rsidRPr="00495AD7" w:rsidRDefault="00AA6A47" w:rsidP="00AA6A47">
      <w:pPr>
        <w:pStyle w:val="Default"/>
        <w:rPr>
          <w:sz w:val="22"/>
        </w:rPr>
      </w:pPr>
      <w:r>
        <w:rPr>
          <w:sz w:val="22"/>
        </w:rPr>
        <w:t>The following information will assist you in researching the background context for your investigation.</w:t>
      </w:r>
    </w:p>
    <w:p w:rsidR="00AA6A47" w:rsidRPr="00EF6415" w:rsidRDefault="00AA6A47" w:rsidP="00AA6A47">
      <w:pPr>
        <w:pStyle w:val="NCEAbodytext"/>
        <w:rPr>
          <w:highlight w:val="yellow"/>
          <w:lang w:val="en-AU"/>
        </w:rPr>
      </w:pPr>
      <w:r w:rsidRPr="00D14E0C">
        <w:rPr>
          <w:lang w:val="en-AU"/>
        </w:rPr>
        <w:t>The variables included are</w:t>
      </w:r>
      <w:r>
        <w:rPr>
          <w:lang w:val="en-AU"/>
        </w:rPr>
        <w:t xml:space="preserve"> given in the table below</w:t>
      </w:r>
      <w:r w:rsidRPr="00D14E0C">
        <w:rPr>
          <w:lang w:val="en-AU"/>
        </w:rPr>
        <w:t>:</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918"/>
        <w:gridCol w:w="2469"/>
      </w:tblGrid>
      <w:tr w:rsidR="00AA6A47" w:rsidRPr="0071467F" w:rsidTr="00FB645C">
        <w:tc>
          <w:tcPr>
            <w:tcW w:w="1951" w:type="dxa"/>
          </w:tcPr>
          <w:p w:rsidR="00AA6A47" w:rsidRPr="0071467F" w:rsidRDefault="00AA6A47" w:rsidP="00FB645C">
            <w:pPr>
              <w:pStyle w:val="Default"/>
              <w:rPr>
                <w:b/>
                <w:sz w:val="22"/>
                <w:szCs w:val="22"/>
              </w:rPr>
            </w:pPr>
          </w:p>
        </w:tc>
        <w:tc>
          <w:tcPr>
            <w:tcW w:w="2918" w:type="dxa"/>
            <w:tcBorders>
              <w:bottom w:val="single" w:sz="4" w:space="0" w:color="auto"/>
            </w:tcBorders>
          </w:tcPr>
          <w:p w:rsidR="00AA6A47" w:rsidRPr="0071467F" w:rsidRDefault="00AA6A47" w:rsidP="00FB645C">
            <w:pPr>
              <w:pStyle w:val="Default"/>
              <w:rPr>
                <w:b/>
                <w:sz w:val="22"/>
                <w:szCs w:val="22"/>
              </w:rPr>
            </w:pPr>
            <w:r w:rsidRPr="0071467F">
              <w:rPr>
                <w:b/>
                <w:sz w:val="22"/>
                <w:szCs w:val="22"/>
              </w:rPr>
              <w:t>Number of Guest Nights:</w:t>
            </w:r>
          </w:p>
        </w:tc>
        <w:tc>
          <w:tcPr>
            <w:tcW w:w="2469" w:type="dxa"/>
            <w:tcBorders>
              <w:bottom w:val="single" w:sz="4" w:space="0" w:color="auto"/>
            </w:tcBorders>
          </w:tcPr>
          <w:p w:rsidR="00AA6A47" w:rsidRPr="0071467F" w:rsidRDefault="00AA6A47" w:rsidP="00FB645C">
            <w:pPr>
              <w:pStyle w:val="Default"/>
              <w:rPr>
                <w:b/>
                <w:sz w:val="22"/>
                <w:szCs w:val="22"/>
              </w:rPr>
            </w:pPr>
            <w:r w:rsidRPr="0071467F">
              <w:rPr>
                <w:b/>
                <w:sz w:val="22"/>
                <w:szCs w:val="22"/>
              </w:rPr>
              <w:t>Occupancy Rates:</w:t>
            </w:r>
          </w:p>
        </w:tc>
      </w:tr>
      <w:tr w:rsidR="00AA6A47" w:rsidTr="00FB645C">
        <w:tc>
          <w:tcPr>
            <w:tcW w:w="1951" w:type="dxa"/>
            <w:tcBorders>
              <w:right w:val="single" w:sz="4" w:space="0" w:color="auto"/>
            </w:tcBorders>
          </w:tcPr>
          <w:p w:rsidR="00AA6A47" w:rsidRPr="0071467F" w:rsidRDefault="00AA6A47" w:rsidP="00FB645C">
            <w:pPr>
              <w:pStyle w:val="Default"/>
              <w:rPr>
                <w:b/>
                <w:sz w:val="22"/>
                <w:szCs w:val="22"/>
              </w:rPr>
            </w:pPr>
            <w:r w:rsidRPr="0071467F">
              <w:rPr>
                <w:b/>
                <w:sz w:val="22"/>
                <w:szCs w:val="22"/>
              </w:rPr>
              <w:t>Hotels:</w:t>
            </w:r>
          </w:p>
        </w:tc>
        <w:tc>
          <w:tcPr>
            <w:tcW w:w="2918" w:type="dxa"/>
            <w:tcBorders>
              <w:top w:val="single" w:sz="4" w:space="0" w:color="auto"/>
              <w:left w:val="single" w:sz="4" w:space="0" w:color="auto"/>
              <w:bottom w:val="single" w:sz="4" w:space="0" w:color="auto"/>
              <w:right w:val="single" w:sz="4" w:space="0" w:color="auto"/>
            </w:tcBorders>
          </w:tcPr>
          <w:p w:rsidR="00AA6A47" w:rsidRPr="0071467F" w:rsidRDefault="00AA6A47" w:rsidP="00FB645C">
            <w:pPr>
              <w:pStyle w:val="Default"/>
              <w:rPr>
                <w:sz w:val="22"/>
                <w:szCs w:val="22"/>
              </w:rPr>
            </w:pPr>
            <w:proofErr w:type="spellStart"/>
            <w:r w:rsidRPr="0071467F">
              <w:rPr>
                <w:sz w:val="22"/>
                <w:szCs w:val="22"/>
              </w:rPr>
              <w:t>HotelGuestNights</w:t>
            </w:r>
            <w:proofErr w:type="spellEnd"/>
          </w:p>
        </w:tc>
        <w:tc>
          <w:tcPr>
            <w:tcW w:w="2469" w:type="dxa"/>
            <w:tcBorders>
              <w:top w:val="single" w:sz="4" w:space="0" w:color="auto"/>
              <w:left w:val="single" w:sz="4" w:space="0" w:color="auto"/>
              <w:bottom w:val="single" w:sz="4" w:space="0" w:color="auto"/>
              <w:right w:val="single" w:sz="4" w:space="0" w:color="auto"/>
            </w:tcBorders>
          </w:tcPr>
          <w:p w:rsidR="00AA6A47" w:rsidRPr="0071467F" w:rsidRDefault="00AA6A47" w:rsidP="00FB645C">
            <w:pPr>
              <w:pStyle w:val="Default"/>
              <w:rPr>
                <w:sz w:val="22"/>
                <w:szCs w:val="22"/>
              </w:rPr>
            </w:pPr>
            <w:proofErr w:type="spellStart"/>
            <w:r w:rsidRPr="0071467F">
              <w:rPr>
                <w:sz w:val="22"/>
                <w:szCs w:val="22"/>
              </w:rPr>
              <w:t>HotelOccRate</w:t>
            </w:r>
            <w:proofErr w:type="spellEnd"/>
          </w:p>
        </w:tc>
      </w:tr>
      <w:tr w:rsidR="00AA6A47" w:rsidTr="00FB645C">
        <w:tc>
          <w:tcPr>
            <w:tcW w:w="1951" w:type="dxa"/>
            <w:tcBorders>
              <w:right w:val="single" w:sz="4" w:space="0" w:color="auto"/>
            </w:tcBorders>
          </w:tcPr>
          <w:p w:rsidR="00AA6A47" w:rsidRPr="0071467F" w:rsidRDefault="00AA6A47" w:rsidP="00FB645C">
            <w:pPr>
              <w:pStyle w:val="Default"/>
              <w:rPr>
                <w:b/>
                <w:sz w:val="22"/>
                <w:szCs w:val="22"/>
              </w:rPr>
            </w:pPr>
            <w:r w:rsidRPr="0071467F">
              <w:rPr>
                <w:b/>
                <w:sz w:val="22"/>
                <w:szCs w:val="22"/>
              </w:rPr>
              <w:t>Motels:</w:t>
            </w:r>
          </w:p>
        </w:tc>
        <w:tc>
          <w:tcPr>
            <w:tcW w:w="2918" w:type="dxa"/>
            <w:tcBorders>
              <w:top w:val="single" w:sz="4" w:space="0" w:color="auto"/>
              <w:left w:val="single" w:sz="4" w:space="0" w:color="auto"/>
              <w:bottom w:val="single" w:sz="4" w:space="0" w:color="auto"/>
              <w:right w:val="single" w:sz="4" w:space="0" w:color="auto"/>
            </w:tcBorders>
          </w:tcPr>
          <w:p w:rsidR="00AA6A47" w:rsidRPr="0071467F" w:rsidRDefault="00AA6A47" w:rsidP="00FB645C">
            <w:pPr>
              <w:pStyle w:val="Default"/>
              <w:rPr>
                <w:sz w:val="22"/>
                <w:szCs w:val="22"/>
              </w:rPr>
            </w:pPr>
            <w:proofErr w:type="spellStart"/>
            <w:r w:rsidRPr="0071467F">
              <w:rPr>
                <w:sz w:val="22"/>
                <w:szCs w:val="22"/>
              </w:rPr>
              <w:t>MotelGuestNights</w:t>
            </w:r>
            <w:proofErr w:type="spellEnd"/>
          </w:p>
        </w:tc>
        <w:tc>
          <w:tcPr>
            <w:tcW w:w="2469" w:type="dxa"/>
            <w:tcBorders>
              <w:top w:val="single" w:sz="4" w:space="0" w:color="auto"/>
              <w:left w:val="single" w:sz="4" w:space="0" w:color="auto"/>
              <w:bottom w:val="single" w:sz="4" w:space="0" w:color="auto"/>
              <w:right w:val="single" w:sz="4" w:space="0" w:color="auto"/>
            </w:tcBorders>
          </w:tcPr>
          <w:p w:rsidR="00AA6A47" w:rsidRPr="0071467F" w:rsidRDefault="00AA6A47" w:rsidP="00FB645C">
            <w:pPr>
              <w:pStyle w:val="Default"/>
              <w:rPr>
                <w:sz w:val="22"/>
                <w:szCs w:val="22"/>
              </w:rPr>
            </w:pPr>
            <w:proofErr w:type="spellStart"/>
            <w:r w:rsidRPr="0071467F">
              <w:rPr>
                <w:sz w:val="22"/>
                <w:szCs w:val="22"/>
              </w:rPr>
              <w:t>MotelOccRate</w:t>
            </w:r>
            <w:proofErr w:type="spellEnd"/>
          </w:p>
        </w:tc>
      </w:tr>
      <w:tr w:rsidR="00AA6A47" w:rsidTr="00FB645C">
        <w:tc>
          <w:tcPr>
            <w:tcW w:w="1951" w:type="dxa"/>
            <w:tcBorders>
              <w:right w:val="single" w:sz="4" w:space="0" w:color="auto"/>
            </w:tcBorders>
          </w:tcPr>
          <w:p w:rsidR="00AA6A47" w:rsidRPr="0071467F" w:rsidRDefault="00AA6A47" w:rsidP="00FB645C">
            <w:pPr>
              <w:pStyle w:val="Default"/>
              <w:rPr>
                <w:b/>
                <w:sz w:val="22"/>
                <w:szCs w:val="22"/>
              </w:rPr>
            </w:pPr>
            <w:r w:rsidRPr="0071467F">
              <w:rPr>
                <w:b/>
                <w:sz w:val="22"/>
                <w:szCs w:val="22"/>
              </w:rPr>
              <w:t>Backpackers:</w:t>
            </w:r>
          </w:p>
        </w:tc>
        <w:tc>
          <w:tcPr>
            <w:tcW w:w="2918" w:type="dxa"/>
            <w:tcBorders>
              <w:top w:val="single" w:sz="4" w:space="0" w:color="auto"/>
              <w:left w:val="single" w:sz="4" w:space="0" w:color="auto"/>
              <w:bottom w:val="single" w:sz="4" w:space="0" w:color="auto"/>
              <w:right w:val="single" w:sz="4" w:space="0" w:color="auto"/>
            </w:tcBorders>
          </w:tcPr>
          <w:p w:rsidR="00AA6A47" w:rsidRPr="0071467F" w:rsidRDefault="00AA6A47" w:rsidP="00FB645C">
            <w:pPr>
              <w:pStyle w:val="Default"/>
              <w:rPr>
                <w:sz w:val="22"/>
                <w:szCs w:val="22"/>
              </w:rPr>
            </w:pPr>
            <w:proofErr w:type="spellStart"/>
            <w:r w:rsidRPr="0071467F">
              <w:rPr>
                <w:sz w:val="22"/>
                <w:szCs w:val="22"/>
              </w:rPr>
              <w:t>BackpackerGuestNights</w:t>
            </w:r>
            <w:proofErr w:type="spellEnd"/>
          </w:p>
        </w:tc>
        <w:tc>
          <w:tcPr>
            <w:tcW w:w="2469" w:type="dxa"/>
            <w:tcBorders>
              <w:top w:val="single" w:sz="4" w:space="0" w:color="auto"/>
              <w:left w:val="single" w:sz="4" w:space="0" w:color="auto"/>
              <w:bottom w:val="single" w:sz="4" w:space="0" w:color="auto"/>
              <w:right w:val="single" w:sz="4" w:space="0" w:color="auto"/>
            </w:tcBorders>
          </w:tcPr>
          <w:p w:rsidR="00AA6A47" w:rsidRPr="0071467F" w:rsidRDefault="00AA6A47" w:rsidP="00FB645C">
            <w:pPr>
              <w:pStyle w:val="Default"/>
              <w:rPr>
                <w:sz w:val="22"/>
                <w:szCs w:val="22"/>
              </w:rPr>
            </w:pPr>
            <w:proofErr w:type="spellStart"/>
            <w:r w:rsidRPr="0071467F">
              <w:rPr>
                <w:sz w:val="22"/>
                <w:szCs w:val="22"/>
              </w:rPr>
              <w:t>BackpackerOccRate</w:t>
            </w:r>
            <w:proofErr w:type="spellEnd"/>
          </w:p>
        </w:tc>
      </w:tr>
      <w:tr w:rsidR="00AA6A47" w:rsidTr="00FB645C">
        <w:tc>
          <w:tcPr>
            <w:tcW w:w="1951" w:type="dxa"/>
            <w:tcBorders>
              <w:right w:val="single" w:sz="4" w:space="0" w:color="auto"/>
            </w:tcBorders>
          </w:tcPr>
          <w:p w:rsidR="00AA6A47" w:rsidRPr="0071467F" w:rsidRDefault="00AA6A47" w:rsidP="00FB645C">
            <w:pPr>
              <w:pStyle w:val="Default"/>
              <w:rPr>
                <w:b/>
                <w:sz w:val="22"/>
                <w:szCs w:val="22"/>
              </w:rPr>
            </w:pPr>
            <w:r w:rsidRPr="0071467F">
              <w:rPr>
                <w:b/>
                <w:sz w:val="22"/>
                <w:szCs w:val="22"/>
              </w:rPr>
              <w:t>Holiday Parks:</w:t>
            </w:r>
          </w:p>
        </w:tc>
        <w:tc>
          <w:tcPr>
            <w:tcW w:w="2918" w:type="dxa"/>
            <w:tcBorders>
              <w:top w:val="single" w:sz="4" w:space="0" w:color="auto"/>
              <w:left w:val="single" w:sz="4" w:space="0" w:color="auto"/>
              <w:bottom w:val="single" w:sz="4" w:space="0" w:color="auto"/>
              <w:right w:val="single" w:sz="4" w:space="0" w:color="auto"/>
            </w:tcBorders>
          </w:tcPr>
          <w:p w:rsidR="00AA6A47" w:rsidRPr="0071467F" w:rsidRDefault="00AA6A47" w:rsidP="00FB645C">
            <w:pPr>
              <w:pStyle w:val="Default"/>
              <w:rPr>
                <w:sz w:val="22"/>
                <w:szCs w:val="22"/>
              </w:rPr>
            </w:pPr>
            <w:proofErr w:type="spellStart"/>
            <w:r w:rsidRPr="0071467F">
              <w:rPr>
                <w:sz w:val="22"/>
                <w:szCs w:val="22"/>
              </w:rPr>
              <w:t>HolidayParkGuestNights</w:t>
            </w:r>
            <w:proofErr w:type="spellEnd"/>
          </w:p>
        </w:tc>
        <w:tc>
          <w:tcPr>
            <w:tcW w:w="2469" w:type="dxa"/>
            <w:tcBorders>
              <w:top w:val="single" w:sz="4" w:space="0" w:color="auto"/>
              <w:left w:val="single" w:sz="4" w:space="0" w:color="auto"/>
              <w:bottom w:val="single" w:sz="4" w:space="0" w:color="auto"/>
              <w:right w:val="single" w:sz="4" w:space="0" w:color="auto"/>
            </w:tcBorders>
          </w:tcPr>
          <w:p w:rsidR="00AA6A47" w:rsidRPr="0071467F" w:rsidRDefault="00AA6A47" w:rsidP="00FB645C">
            <w:pPr>
              <w:pStyle w:val="Default"/>
              <w:rPr>
                <w:sz w:val="22"/>
                <w:szCs w:val="22"/>
              </w:rPr>
            </w:pPr>
            <w:proofErr w:type="spellStart"/>
            <w:r w:rsidRPr="0071467F">
              <w:rPr>
                <w:sz w:val="22"/>
                <w:szCs w:val="22"/>
              </w:rPr>
              <w:t>HolidayParkOccRate</w:t>
            </w:r>
            <w:proofErr w:type="spellEnd"/>
          </w:p>
        </w:tc>
      </w:tr>
      <w:tr w:rsidR="00AA6A47" w:rsidTr="00FB645C">
        <w:tc>
          <w:tcPr>
            <w:tcW w:w="1951" w:type="dxa"/>
          </w:tcPr>
          <w:p w:rsidR="00AA6A47" w:rsidRPr="0071467F" w:rsidRDefault="00AA6A47" w:rsidP="00FB645C">
            <w:pPr>
              <w:pStyle w:val="Default"/>
              <w:rPr>
                <w:b/>
                <w:sz w:val="22"/>
                <w:szCs w:val="22"/>
              </w:rPr>
            </w:pPr>
          </w:p>
        </w:tc>
        <w:tc>
          <w:tcPr>
            <w:tcW w:w="2918" w:type="dxa"/>
            <w:tcBorders>
              <w:top w:val="single" w:sz="4" w:space="0" w:color="auto"/>
            </w:tcBorders>
          </w:tcPr>
          <w:p w:rsidR="00AA6A47" w:rsidRPr="0071467F" w:rsidRDefault="00AA6A47" w:rsidP="00FB645C">
            <w:pPr>
              <w:pStyle w:val="Default"/>
              <w:rPr>
                <w:sz w:val="22"/>
                <w:szCs w:val="22"/>
              </w:rPr>
            </w:pPr>
          </w:p>
        </w:tc>
        <w:tc>
          <w:tcPr>
            <w:tcW w:w="2469" w:type="dxa"/>
            <w:tcBorders>
              <w:top w:val="single" w:sz="4" w:space="0" w:color="auto"/>
            </w:tcBorders>
          </w:tcPr>
          <w:p w:rsidR="00AA6A47" w:rsidRPr="0071467F" w:rsidRDefault="00AA6A47" w:rsidP="00FB645C">
            <w:pPr>
              <w:pStyle w:val="Default"/>
              <w:rPr>
                <w:sz w:val="22"/>
                <w:szCs w:val="22"/>
              </w:rPr>
            </w:pPr>
          </w:p>
        </w:tc>
      </w:tr>
    </w:tbl>
    <w:p w:rsidR="00AA6A47" w:rsidRPr="00531028" w:rsidRDefault="00AA6A47" w:rsidP="00AA6A47">
      <w:pPr>
        <w:pStyle w:val="Default"/>
        <w:rPr>
          <w:sz w:val="22"/>
          <w:szCs w:val="22"/>
          <w:highlight w:val="yellow"/>
        </w:rPr>
      </w:pPr>
    </w:p>
    <w:p w:rsidR="00AA6A47" w:rsidRDefault="00AA6A47" w:rsidP="00AA6A47">
      <w:pPr>
        <w:pStyle w:val="Default"/>
        <w:rPr>
          <w:color w:val="auto"/>
          <w:sz w:val="21"/>
          <w:szCs w:val="21"/>
        </w:rPr>
      </w:pPr>
      <w:r w:rsidRPr="0071467F">
        <w:rPr>
          <w:color w:val="auto"/>
          <w:sz w:val="22"/>
          <w:szCs w:val="22"/>
          <w:u w:val="single"/>
        </w:rPr>
        <w:t>The number of guest nights</w:t>
      </w:r>
      <w:r w:rsidRPr="0071467F">
        <w:rPr>
          <w:color w:val="auto"/>
          <w:sz w:val="22"/>
          <w:szCs w:val="22"/>
        </w:rPr>
        <w:t xml:space="preserve"> is calculated as the number of guests multiplied by the number of nights they stay. </w:t>
      </w:r>
      <w:r w:rsidRPr="0071467F">
        <w:rPr>
          <w:color w:val="auto"/>
          <w:sz w:val="21"/>
          <w:szCs w:val="21"/>
        </w:rPr>
        <w:t>For example, a motel with 15 guests spending two nights would report that th</w:t>
      </w:r>
      <w:r>
        <w:rPr>
          <w:color w:val="auto"/>
          <w:sz w:val="21"/>
          <w:szCs w:val="21"/>
        </w:rPr>
        <w:t>ey had provided 30 guest nights. Data is reported in whole numbers.</w:t>
      </w:r>
    </w:p>
    <w:p w:rsidR="00AA6A47" w:rsidRPr="0071467F" w:rsidRDefault="00AA6A47" w:rsidP="00AA6A47">
      <w:pPr>
        <w:pStyle w:val="Default"/>
        <w:rPr>
          <w:color w:val="auto"/>
          <w:sz w:val="21"/>
          <w:szCs w:val="21"/>
        </w:rPr>
      </w:pPr>
    </w:p>
    <w:p w:rsidR="00AA6A47" w:rsidRDefault="00AA6A47" w:rsidP="00AA6A47">
      <w:pPr>
        <w:pStyle w:val="Default"/>
        <w:rPr>
          <w:color w:val="auto"/>
          <w:sz w:val="21"/>
          <w:szCs w:val="21"/>
        </w:rPr>
      </w:pPr>
      <w:r w:rsidRPr="0071467F">
        <w:rPr>
          <w:color w:val="auto"/>
          <w:sz w:val="21"/>
          <w:szCs w:val="21"/>
          <w:u w:val="single"/>
        </w:rPr>
        <w:t>The occupancy rate</w:t>
      </w:r>
      <w:r w:rsidRPr="0071467F">
        <w:rPr>
          <w:color w:val="auto"/>
          <w:sz w:val="21"/>
          <w:szCs w:val="21"/>
        </w:rPr>
        <w:t xml:space="preserve"> is the percentage of available rooms occupied each night. It is calculated by dividing stay-unit nights occupied by stay-unit nights available. For example, if a hotel had 60 of its 100 rooms occupied every night in August, it would have 60 x 31 = 1,860 stay-unit nights occupied, and its occupancy rate would be 60 percent.</w:t>
      </w:r>
      <w:r>
        <w:rPr>
          <w:color w:val="auto"/>
          <w:sz w:val="21"/>
          <w:szCs w:val="21"/>
        </w:rPr>
        <w:t xml:space="preserve"> Data is reported in percentages.</w:t>
      </w:r>
    </w:p>
    <w:p w:rsidR="00AA6A47" w:rsidRPr="0071467F" w:rsidRDefault="00AA6A47" w:rsidP="00AA6A47">
      <w:pPr>
        <w:pStyle w:val="Default"/>
        <w:rPr>
          <w:color w:val="auto"/>
        </w:rPr>
      </w:pPr>
    </w:p>
    <w:p w:rsidR="00AA6A47" w:rsidRPr="0071467F" w:rsidRDefault="00AA6A47" w:rsidP="00AA6A47">
      <w:pPr>
        <w:rPr>
          <w:sz w:val="22"/>
          <w:szCs w:val="22"/>
        </w:rPr>
      </w:pPr>
      <w:r w:rsidRPr="0071467F">
        <w:rPr>
          <w:sz w:val="22"/>
          <w:szCs w:val="22"/>
          <w:u w:val="single"/>
        </w:rPr>
        <w:t>The population</w:t>
      </w:r>
      <w:r w:rsidRPr="0071467F">
        <w:rPr>
          <w:sz w:val="22"/>
          <w:szCs w:val="22"/>
        </w:rPr>
        <w:t xml:space="preserve"> is the estimate of the total population of New Zea</w:t>
      </w:r>
      <w:r>
        <w:rPr>
          <w:sz w:val="22"/>
          <w:szCs w:val="22"/>
        </w:rPr>
        <w:t>land</w:t>
      </w:r>
      <w:r w:rsidRPr="0071467F">
        <w:rPr>
          <w:sz w:val="22"/>
          <w:szCs w:val="22"/>
        </w:rPr>
        <w:t>.</w:t>
      </w:r>
    </w:p>
    <w:p w:rsidR="00AA6A47" w:rsidRDefault="00AA6A47" w:rsidP="00AA6A47">
      <w:pPr>
        <w:pStyle w:val="Default"/>
      </w:pPr>
    </w:p>
    <w:p w:rsidR="00AA6A47" w:rsidRPr="00CA6C41" w:rsidRDefault="00AA6A47" w:rsidP="00AA6A47">
      <w:pPr>
        <w:pStyle w:val="NCEAbodytext"/>
        <w:spacing w:before="0" w:after="0"/>
        <w:rPr>
          <w:rStyle w:val="Hyperlink"/>
          <w:szCs w:val="22"/>
        </w:rPr>
      </w:pPr>
      <w:r w:rsidRPr="00CA6C41">
        <w:rPr>
          <w:szCs w:val="22"/>
          <w:lang w:val="en-AU"/>
        </w:rPr>
        <w:t xml:space="preserve">Background information, including definitions of the variables, can be found at: </w:t>
      </w:r>
      <w:hyperlink r:id="rId5" w:history="1">
        <w:r w:rsidRPr="00CA6C41">
          <w:rPr>
            <w:rStyle w:val="Hyperlink"/>
            <w:szCs w:val="22"/>
            <w:lang w:val="en-AU"/>
          </w:rPr>
          <w:t>http://www.stats.govt.nz/browse_for_stats/industry_sectors/accommodation/AccommodationSurvey_HOTPOct12/Definitions.aspx</w:t>
        </w:r>
      </w:hyperlink>
    </w:p>
    <w:p w:rsidR="00AA6A47" w:rsidRPr="00CA6C41" w:rsidRDefault="00AA6A47" w:rsidP="00AA6A47">
      <w:pPr>
        <w:pStyle w:val="Default"/>
        <w:rPr>
          <w:sz w:val="22"/>
          <w:szCs w:val="22"/>
        </w:rPr>
      </w:pPr>
    </w:p>
    <w:p w:rsidR="00AA6A47" w:rsidRPr="00CA6C41" w:rsidRDefault="00AA6A47" w:rsidP="00AA6A47">
      <w:pPr>
        <w:pStyle w:val="NCEAbodytext"/>
        <w:spacing w:before="0" w:after="0"/>
        <w:rPr>
          <w:szCs w:val="22"/>
        </w:rPr>
      </w:pPr>
      <w:r w:rsidRPr="00CA6C41">
        <w:rPr>
          <w:szCs w:val="22"/>
        </w:rPr>
        <w:t>Ministry of Business, Innovation &amp; Employment information on the CAM (commercial accommodation monitor):</w:t>
      </w:r>
    </w:p>
    <w:p w:rsidR="00AA6A47" w:rsidRPr="00CA6C41" w:rsidRDefault="00AA6A47" w:rsidP="00AA6A47">
      <w:pPr>
        <w:pStyle w:val="NCEAbodytext"/>
        <w:spacing w:before="0" w:after="0"/>
        <w:rPr>
          <w:rStyle w:val="Hyperlink"/>
          <w:szCs w:val="22"/>
        </w:rPr>
      </w:pPr>
      <w:hyperlink r:id="rId6" w:history="1">
        <w:r w:rsidRPr="00CA6C41">
          <w:rPr>
            <w:rStyle w:val="Hyperlink"/>
            <w:szCs w:val="22"/>
            <w:lang w:val="en-AU"/>
          </w:rPr>
          <w:t>http://www.med.govt.nz/sectors-industries/tourism/tourism-research-data/commercial-accommodation-monitor-data</w:t>
        </w:r>
      </w:hyperlink>
    </w:p>
    <w:p w:rsidR="00AA6A47" w:rsidRPr="00CA6C41" w:rsidRDefault="00AA6A47" w:rsidP="00AA6A47">
      <w:pPr>
        <w:pStyle w:val="Default"/>
        <w:rPr>
          <w:sz w:val="22"/>
          <w:szCs w:val="22"/>
          <w:lang w:val="en-AU"/>
        </w:rPr>
      </w:pPr>
    </w:p>
    <w:p w:rsidR="00AA6A47" w:rsidRPr="00CA6C41" w:rsidRDefault="00AA6A47" w:rsidP="00AA6A47">
      <w:pPr>
        <w:rPr>
          <w:sz w:val="22"/>
          <w:szCs w:val="22"/>
        </w:rPr>
      </w:pPr>
      <w:proofErr w:type="spellStart"/>
      <w:proofErr w:type="gramStart"/>
      <w:r w:rsidRPr="00CA6C41">
        <w:rPr>
          <w:sz w:val="22"/>
          <w:szCs w:val="22"/>
        </w:rPr>
        <w:t>eHotelier’s</w:t>
      </w:r>
      <w:proofErr w:type="spellEnd"/>
      <w:proofErr w:type="gramEnd"/>
      <w:r w:rsidRPr="00CA6C41">
        <w:rPr>
          <w:sz w:val="22"/>
          <w:szCs w:val="22"/>
        </w:rPr>
        <w:t xml:space="preserve"> article on accommodation occupancy rates in NZ (May 2005).</w:t>
      </w:r>
    </w:p>
    <w:p w:rsidR="00AA6A47" w:rsidRPr="00CA6C41" w:rsidRDefault="00AA6A47" w:rsidP="00AA6A47">
      <w:pPr>
        <w:rPr>
          <w:sz w:val="22"/>
          <w:szCs w:val="22"/>
        </w:rPr>
      </w:pPr>
      <w:hyperlink r:id="rId7" w:history="1">
        <w:r w:rsidRPr="00CA6C41">
          <w:rPr>
            <w:rStyle w:val="Hyperlink"/>
            <w:sz w:val="22"/>
            <w:szCs w:val="22"/>
          </w:rPr>
          <w:t>http://ehotelier.com/hospitality-news/item.php?id=A5133_0_11_0_C</w:t>
        </w:r>
      </w:hyperlink>
    </w:p>
    <w:p w:rsidR="00AA6A47" w:rsidRPr="00CA6C41" w:rsidRDefault="00AA6A47" w:rsidP="00AA6A47">
      <w:pPr>
        <w:pStyle w:val="Default"/>
        <w:rPr>
          <w:sz w:val="22"/>
          <w:szCs w:val="22"/>
        </w:rPr>
      </w:pPr>
    </w:p>
    <w:p w:rsidR="00AA6A47" w:rsidRPr="00CA6C41" w:rsidRDefault="00AA6A47" w:rsidP="00AA6A47">
      <w:pPr>
        <w:pStyle w:val="Default"/>
        <w:rPr>
          <w:sz w:val="22"/>
          <w:szCs w:val="22"/>
        </w:rPr>
      </w:pPr>
      <w:r w:rsidRPr="00CA6C41">
        <w:rPr>
          <w:sz w:val="22"/>
          <w:szCs w:val="22"/>
        </w:rPr>
        <w:t>Impact of Rugby World Cup 2011:</w:t>
      </w:r>
    </w:p>
    <w:p w:rsidR="00AA6A47" w:rsidRPr="00CA6C41" w:rsidRDefault="00AA6A47" w:rsidP="00AA6A47">
      <w:pPr>
        <w:pStyle w:val="Default"/>
        <w:rPr>
          <w:sz w:val="22"/>
          <w:szCs w:val="22"/>
        </w:rPr>
      </w:pPr>
      <w:hyperlink r:id="rId8" w:history="1">
        <w:r w:rsidRPr="00CA6C41">
          <w:rPr>
            <w:rStyle w:val="Hyperlink"/>
            <w:sz w:val="22"/>
            <w:szCs w:val="22"/>
          </w:rPr>
          <w:t>http://www.stats.govt.nz/browse_for_stats/economic_indicators/NationalAccounts/impact-of-rugby-world-cup.aspx</w:t>
        </w:r>
      </w:hyperlink>
    </w:p>
    <w:p w:rsidR="00AA6A47" w:rsidRPr="00CA6C41" w:rsidRDefault="00AA6A47" w:rsidP="00AA6A47">
      <w:pPr>
        <w:pStyle w:val="Default"/>
        <w:rPr>
          <w:sz w:val="22"/>
          <w:szCs w:val="22"/>
        </w:rPr>
      </w:pPr>
    </w:p>
    <w:p w:rsidR="00AA6A47" w:rsidRPr="008C23B6" w:rsidRDefault="00AA6A47" w:rsidP="00AA6A47">
      <w:pPr>
        <w:rPr>
          <w:rFonts w:cstheme="minorHAnsi"/>
          <w:color w:val="333333"/>
          <w:sz w:val="22"/>
          <w:szCs w:val="22"/>
        </w:rPr>
      </w:pPr>
      <w:r w:rsidRPr="00CA6C41">
        <w:rPr>
          <w:sz w:val="22"/>
          <w:szCs w:val="22"/>
        </w:rPr>
        <w:t>Tourism New Zealand’s</w:t>
      </w:r>
      <w:r>
        <w:rPr>
          <w:sz w:val="22"/>
          <w:szCs w:val="22"/>
        </w:rPr>
        <w:t xml:space="preserve"> news release on world economic conditions</w:t>
      </w:r>
      <w:r w:rsidRPr="00CA6C41">
        <w:rPr>
          <w:sz w:val="22"/>
          <w:szCs w:val="22"/>
        </w:rPr>
        <w:t xml:space="preserve"> (February 2009): </w:t>
      </w:r>
      <w:r w:rsidRPr="008C23B6">
        <w:rPr>
          <w:rFonts w:cstheme="minorHAnsi"/>
          <w:sz w:val="22"/>
          <w:szCs w:val="22"/>
        </w:rPr>
        <w:t>http://www.newzealand.com/travel/trade/whats-happening/news/2009/2/economic-</w:t>
      </w:r>
      <w:r w:rsidRPr="008C23B6">
        <w:rPr>
          <w:rFonts w:cstheme="minorHAnsi"/>
          <w:sz w:val="22"/>
          <w:szCs w:val="22"/>
        </w:rPr>
        <w:lastRenderedPageBreak/>
        <w:t>conditions-biting-into-tourism-markets.cfm</w:t>
      </w:r>
    </w:p>
    <w:p w:rsidR="003E6D55" w:rsidRDefault="003E6D55">
      <w:bookmarkStart w:id="0" w:name="_GoBack"/>
      <w:bookmarkEnd w:id="0"/>
    </w:p>
    <w:sectPr w:rsidR="003E6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47"/>
    <w:rsid w:val="003E6D55"/>
    <w:rsid w:val="00AA6A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ADF34-8137-4B8A-9C32-8C69348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AA6A47"/>
    <w:pPr>
      <w:widowControl w:val="0"/>
      <w:autoSpaceDE w:val="0"/>
      <w:autoSpaceDN w:val="0"/>
      <w:adjustRightInd w:val="0"/>
      <w:spacing w:after="0" w:line="240" w:lineRule="auto"/>
    </w:pPr>
    <w:rPr>
      <w:rFonts w:ascii="Arial" w:eastAsiaTheme="minorEastAsia" w:hAnsi="Arial" w:cs="Arial"/>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A47"/>
    <w:pPr>
      <w:widowControl w:val="0"/>
      <w:autoSpaceDE w:val="0"/>
      <w:autoSpaceDN w:val="0"/>
      <w:adjustRightInd w:val="0"/>
      <w:spacing w:after="0" w:line="240" w:lineRule="auto"/>
    </w:pPr>
    <w:rPr>
      <w:rFonts w:ascii="Arial" w:eastAsiaTheme="minorEastAsia" w:hAnsi="Arial" w:cs="Arial"/>
      <w:color w:val="000000"/>
      <w:sz w:val="24"/>
      <w:szCs w:val="24"/>
      <w:lang w:eastAsia="en-NZ"/>
    </w:rPr>
  </w:style>
  <w:style w:type="table" w:styleId="TableGrid">
    <w:name w:val="Table Grid"/>
    <w:basedOn w:val="TableNormal"/>
    <w:uiPriority w:val="59"/>
    <w:rsid w:val="00AA6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6A47"/>
    <w:rPr>
      <w:color w:val="0000FF"/>
      <w:u w:val="single"/>
    </w:rPr>
  </w:style>
  <w:style w:type="paragraph" w:customStyle="1" w:styleId="NCEAbodytext">
    <w:name w:val="NCEA bodytext"/>
    <w:link w:val="NCEAbodytextChar"/>
    <w:rsid w:val="00AA6A47"/>
    <w:pPr>
      <w:tabs>
        <w:tab w:val="left" w:pos="397"/>
        <w:tab w:val="left" w:pos="794"/>
        <w:tab w:val="left" w:pos="1191"/>
      </w:tabs>
      <w:spacing w:before="120" w:after="120" w:line="240" w:lineRule="auto"/>
    </w:pPr>
    <w:rPr>
      <w:rFonts w:ascii="Arial" w:eastAsia="Times New Roman" w:hAnsi="Arial" w:cs="Arial"/>
      <w:szCs w:val="20"/>
      <w:lang w:eastAsia="en-NZ" w:bidi="en-US"/>
    </w:rPr>
  </w:style>
  <w:style w:type="character" w:customStyle="1" w:styleId="NCEAbodytextChar">
    <w:name w:val="NCEA bodytext Char"/>
    <w:basedOn w:val="DefaultParagraphFont"/>
    <w:link w:val="NCEAbodytext"/>
    <w:rsid w:val="00AA6A47"/>
    <w:rPr>
      <w:rFonts w:ascii="Arial" w:eastAsia="Times New Roman" w:hAnsi="Arial" w:cs="Arial"/>
      <w:szCs w:val="20"/>
      <w:lang w:eastAsia="en-N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govt.nz/browse_for_stats/economic_indicators/NationalAccounts/impact-of-rugby-world-cup.aspx" TargetMode="External"/><Relationship Id="rId3" Type="http://schemas.openxmlformats.org/officeDocument/2006/relationships/webSettings" Target="webSettings.xml"/><Relationship Id="rId7" Type="http://schemas.openxmlformats.org/officeDocument/2006/relationships/hyperlink" Target="http://ehotelier.com/hospitality-news/item.php?id=A5133_0_11_0_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govt.nz/sectors-industries/tourism/tourism-research-data/commercial-accommodation-monitor-data" TargetMode="External"/><Relationship Id="rId5" Type="http://schemas.openxmlformats.org/officeDocument/2006/relationships/hyperlink" Target="http://www.stats.govt.nz/browse_for_stats/industry_sectors/accommodation/AccommodationSurvey_HOTPOct12/Definitions.aspx"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Company>Whangarei Girls High School</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Tanya.Gwillim</dc:creator>
  <cp:keywords/>
  <dc:description/>
  <cp:lastModifiedBy>Tanya.Gwillim</cp:lastModifiedBy>
  <cp:revision>1</cp:revision>
  <dcterms:created xsi:type="dcterms:W3CDTF">2013-09-19T22:52:00Z</dcterms:created>
  <dcterms:modified xsi:type="dcterms:W3CDTF">2013-09-19T22:53:00Z</dcterms:modified>
</cp:coreProperties>
</file>